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71" w:rsidRDefault="000E6671" w:rsidP="000E6671">
      <w:pPr>
        <w:pStyle w:val="a5"/>
        <w:jc w:val="center"/>
      </w:pPr>
      <w:bookmarkStart w:id="0" w:name="_GoBack"/>
      <w:r>
        <w:rPr>
          <w:rStyle w:val="a6"/>
          <w:color w:val="000000"/>
        </w:rPr>
        <w:t>税务</w:t>
      </w:r>
      <w:bookmarkEnd w:id="0"/>
      <w:r>
        <w:rPr>
          <w:rStyle w:val="a6"/>
          <w:color w:val="000000"/>
        </w:rPr>
        <w:t>硕士专业学位研究生指导性培养方案</w:t>
      </w:r>
    </w:p>
    <w:p w:rsidR="000E6671" w:rsidRDefault="000E6671" w:rsidP="000E6671">
      <w:pPr>
        <w:pStyle w:val="a5"/>
        <w:jc w:val="center"/>
      </w:pPr>
      <w:r>
        <w:rPr>
          <w:rStyle w:val="a6"/>
          <w:rFonts w:ascii="Times New Roman" w:hAnsi="Times New Roman" w:cs="Times New Roman"/>
          <w:color w:val="000000"/>
        </w:rPr>
        <w:t>（试行）</w:t>
      </w:r>
    </w:p>
    <w:p w:rsidR="000E6671" w:rsidRDefault="000E6671" w:rsidP="000E6671">
      <w:pPr>
        <w:pStyle w:val="a5"/>
      </w:pPr>
      <w:r>
        <w:rPr>
          <w:rStyle w:val="a6"/>
          <w:color w:val="000000"/>
        </w:rPr>
        <w:t>一、培养目标及基本要求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（一）培养目标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面向税务、司法等国家机关、企业、中介机构等相关职业，培养具有从事税务相关职业所需的专业知识与技能的高层次、应用型专门人才。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（二）基本要求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、掌握马克思主义基本原理和中国特色社会主义理论体系，具有良好的政治素质和职业道德。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、系统掌握现代税收理论、实务与技能，能综合运用税收和会计、法律等相关专业知识，具有良好的战略意识和风险意识，具有较强的税收规划能力和解决税收实际问题的能力。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、熟练掌握和运用一门外语。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、具有良好的身体和心理素质，具备团队协作精神。</w:t>
      </w:r>
    </w:p>
    <w:p w:rsidR="000E6671" w:rsidRDefault="000E6671" w:rsidP="000E6671">
      <w:pPr>
        <w:pStyle w:val="a5"/>
      </w:pPr>
      <w:r>
        <w:rPr>
          <w:rStyle w:val="a6"/>
        </w:rPr>
        <w:t>二、招生对象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具有国民教育序列大学本科学历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或本科同等学力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人员。</w:t>
      </w:r>
    </w:p>
    <w:p w:rsidR="000E6671" w:rsidRDefault="000E6671" w:rsidP="000E6671">
      <w:pPr>
        <w:pStyle w:val="a5"/>
      </w:pPr>
      <w:r>
        <w:rPr>
          <w:rStyle w:val="a6"/>
          <w:color w:val="000000"/>
        </w:rPr>
        <w:t>三、学习方式与年限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全日制学习年限一般为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年；非全日制学习年限一般为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年，其中累计在校学习时间不少于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年。</w:t>
      </w:r>
    </w:p>
    <w:p w:rsidR="000E6671" w:rsidRDefault="000E6671" w:rsidP="000E6671">
      <w:pPr>
        <w:pStyle w:val="a5"/>
      </w:pPr>
      <w:r>
        <w:rPr>
          <w:rStyle w:val="a6"/>
          <w:color w:val="000000"/>
        </w:rPr>
        <w:t>四、培养方式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（一）以课程教学为主，重视和加强实践教学。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（二）注重理论联系实际，鼓励案例教学，培养学生分析问题和解决实际问题的能力。加强教学部门与实践部门的联系和交流，聘请相关部门的专家参与教学工作。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（三）采取考试与考查相结合的评定方式，必修课以考试为主，选修课以考查为主，包括案例分析、专题报告等。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lastRenderedPageBreak/>
        <w:t>（四）成立导师组，采取集体培养与个人负责相结合的指导方式。导师组应以具有指导硕士研究生资格的教师为主，并适当吸收实务部门具有高级专业技术职务或具有注册会计师、注册税务师等专业资格的相关人员参加。</w:t>
      </w:r>
    </w:p>
    <w:p w:rsidR="000E6671" w:rsidRDefault="000E6671" w:rsidP="000E6671">
      <w:pPr>
        <w:pStyle w:val="a5"/>
      </w:pPr>
      <w:r>
        <w:rPr>
          <w:rStyle w:val="a6"/>
          <w:color w:val="000000"/>
        </w:rPr>
        <w:t>五、课程设置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</w:rPr>
        <w:t>实行学分制，</w:t>
      </w:r>
      <w:r>
        <w:rPr>
          <w:rFonts w:ascii="Times New Roman" w:hAnsi="Times New Roman" w:cs="Times New Roman"/>
          <w:color w:val="000000"/>
        </w:rPr>
        <w:t>总学分不少于</w:t>
      </w:r>
      <w:r>
        <w:rPr>
          <w:rFonts w:ascii="Times New Roman" w:hAnsi="Times New Roman" w:cs="Times New Roman"/>
          <w:color w:val="000000"/>
        </w:rPr>
        <w:t>36</w:t>
      </w:r>
      <w:r>
        <w:rPr>
          <w:rFonts w:ascii="Times New Roman" w:hAnsi="Times New Roman" w:cs="Times New Roman"/>
          <w:color w:val="000000"/>
        </w:rPr>
        <w:t>学分。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（一）必修课（</w:t>
      </w:r>
      <w:r>
        <w:rPr>
          <w:rFonts w:ascii="Times New Roman" w:hAnsi="Times New Roman" w:cs="Times New Roman"/>
          <w:color w:val="000000"/>
        </w:rPr>
        <w:t>24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、外语（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、中国经济问题（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、现代经济学（含宏、微观经济学）（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、税收理论与政策（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学分）　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、中国税制专题（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、国际税收专题（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、税务管理专题（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、税务筹划专题（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（二）专业选修课（在下列选修课程或为硕士研究生开设的其他课程中选修至少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学分）。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、税务稽查专题（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、高级税务会计（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、企业税务风险管理（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学分）　　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、纳税评估实务（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、税务代理实务（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 xml:space="preserve">　　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、税收信息化（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学分）</w:t>
      </w:r>
      <w:r>
        <w:rPr>
          <w:rFonts w:ascii="Times New Roman" w:hAnsi="Times New Roman" w:cs="Times New Roman"/>
          <w:color w:val="000000"/>
        </w:rPr>
        <w:t>  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、税务争议专题（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、公文写作（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、财务会计理论和实务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lastRenderedPageBreak/>
        <w:t>10</w:t>
      </w:r>
      <w:r>
        <w:rPr>
          <w:rFonts w:ascii="Times New Roman" w:hAnsi="Times New Roman" w:cs="Times New Roman"/>
          <w:color w:val="000000"/>
        </w:rPr>
        <w:t>、财务报表分析（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</w:rPr>
        <w:t>、经济法专题（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</w:rPr>
        <w:t>战略管理（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</w:rPr>
        <w:t xml:space="preserve">    </w:t>
      </w:r>
      <w:r>
        <w:rPr>
          <w:rFonts w:ascii="Times New Roman" w:hAnsi="Times New Roman" w:cs="Times New Roman"/>
          <w:color w:val="000000"/>
        </w:rPr>
        <w:t>13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</w:rPr>
        <w:t>公共管理（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</w:rPr>
        <w:t>   </w:t>
      </w: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</w:rPr>
        <w:t>数量分析方法（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（三）专业实习（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学分）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税务硕士研究生参与教学实践时间不少于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个月，其中在财政、税务部门、注册税务师事务所、会计师事务所、律师事务所等相</w:t>
      </w:r>
      <w:proofErr w:type="gramStart"/>
      <w:r>
        <w:rPr>
          <w:rFonts w:ascii="Times New Roman" w:hAnsi="Times New Roman" w:cs="Times New Roman"/>
          <w:color w:val="000000"/>
        </w:rPr>
        <w:t>关涉税</w:t>
      </w:r>
      <w:proofErr w:type="gramEnd"/>
      <w:r>
        <w:rPr>
          <w:rFonts w:ascii="Times New Roman" w:hAnsi="Times New Roman" w:cs="Times New Roman"/>
          <w:color w:val="000000"/>
        </w:rPr>
        <w:t>部门实习不少于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个月。</w:t>
      </w:r>
    </w:p>
    <w:p w:rsidR="000E6671" w:rsidRDefault="000E6671" w:rsidP="000E6671">
      <w:pPr>
        <w:pStyle w:val="a5"/>
      </w:pPr>
      <w:r>
        <w:rPr>
          <w:rStyle w:val="a6"/>
          <w:color w:val="000000"/>
        </w:rPr>
        <w:t>六、学位论文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学位论文强调理论联系实际，应体现创新性并具有实用价值。论文形式可以是研究报告、调研报告或案例分析报告等。</w:t>
      </w:r>
    </w:p>
    <w:p w:rsidR="000E6671" w:rsidRDefault="000E6671" w:rsidP="000E6671">
      <w:pPr>
        <w:pStyle w:val="a5"/>
      </w:pPr>
      <w:r>
        <w:rPr>
          <w:rStyle w:val="a6"/>
          <w:color w:val="000000"/>
        </w:rPr>
        <w:t>七、学位授予</w:t>
      </w:r>
    </w:p>
    <w:p w:rsidR="000E6671" w:rsidRDefault="000E6671" w:rsidP="000E6671">
      <w:pPr>
        <w:pStyle w:val="a5"/>
      </w:pPr>
      <w:r>
        <w:rPr>
          <w:rFonts w:ascii="Times New Roman" w:hAnsi="Times New Roman" w:cs="Times New Roman"/>
          <w:color w:val="000000"/>
        </w:rPr>
        <w:t>修满规定学分、完成专业实习并通过学位论文答辩者，经学位授予单位学位评定委员会审核，授予税务硕士专业学位。</w:t>
      </w:r>
    </w:p>
    <w:p w:rsidR="00280DF0" w:rsidRPr="000E6671" w:rsidRDefault="00280DF0"/>
    <w:sectPr w:rsidR="00280DF0" w:rsidRPr="000E6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88" w:rsidRDefault="00FF6E88" w:rsidP="000E6671">
      <w:r>
        <w:separator/>
      </w:r>
    </w:p>
  </w:endnote>
  <w:endnote w:type="continuationSeparator" w:id="0">
    <w:p w:rsidR="00FF6E88" w:rsidRDefault="00FF6E88" w:rsidP="000E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88" w:rsidRDefault="00FF6E88" w:rsidP="000E6671">
      <w:r>
        <w:separator/>
      </w:r>
    </w:p>
  </w:footnote>
  <w:footnote w:type="continuationSeparator" w:id="0">
    <w:p w:rsidR="00FF6E88" w:rsidRDefault="00FF6E88" w:rsidP="000E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AA"/>
    <w:rsid w:val="000559AA"/>
    <w:rsid w:val="000E6671"/>
    <w:rsid w:val="00280DF0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67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66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6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67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66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6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2020-07-17T03:29:00Z</dcterms:created>
  <dcterms:modified xsi:type="dcterms:W3CDTF">2020-07-17T03:29:00Z</dcterms:modified>
</cp:coreProperties>
</file>