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0D2" w:rsidRPr="00331C30" w:rsidRDefault="003470D2" w:rsidP="007F0613">
      <w:pPr>
        <w:jc w:val="center"/>
        <w:rPr>
          <w:rFonts w:ascii="宋体" w:cs="宋体"/>
          <w:b/>
          <w:bCs/>
          <w:sz w:val="28"/>
          <w:szCs w:val="28"/>
        </w:rPr>
      </w:pPr>
      <w:r w:rsidRPr="00331C30">
        <w:rPr>
          <w:rFonts w:ascii="宋体" w:hAnsi="宋体" w:cs="宋体" w:hint="eastAsia"/>
          <w:b/>
          <w:bCs/>
          <w:sz w:val="28"/>
          <w:szCs w:val="28"/>
        </w:rPr>
        <w:t>《</w:t>
      </w:r>
      <w:r w:rsidRPr="00331C30">
        <w:rPr>
          <w:rFonts w:ascii="宋体" w:hAnsi="宋体" w:cs="宋体" w:hint="eastAsia"/>
          <w:b/>
          <w:bCs/>
          <w:color w:val="000000"/>
          <w:sz w:val="28"/>
          <w:szCs w:val="28"/>
        </w:rPr>
        <w:t>新闻与传播专业综合能力</w:t>
      </w:r>
      <w:r w:rsidRPr="00331C30">
        <w:rPr>
          <w:rFonts w:ascii="宋体" w:hAnsi="宋体" w:cs="宋体" w:hint="eastAsia"/>
          <w:b/>
          <w:bCs/>
          <w:sz w:val="28"/>
          <w:szCs w:val="28"/>
        </w:rPr>
        <w:t>》考试大纲</w:t>
      </w:r>
    </w:p>
    <w:p w:rsidR="003470D2" w:rsidRPr="00994602" w:rsidRDefault="003470D2" w:rsidP="005D7D96">
      <w:pPr>
        <w:widowControl/>
        <w:spacing w:line="360" w:lineRule="auto"/>
        <w:jc w:val="left"/>
        <w:rPr>
          <w:rFonts w:ascii="宋体"/>
          <w:color w:val="333333"/>
          <w:kern w:val="0"/>
        </w:rPr>
      </w:pPr>
      <w:r w:rsidRPr="00994602">
        <w:rPr>
          <w:rFonts w:ascii="宋体" w:hAnsi="宋体" w:cs="宋体" w:hint="eastAsia"/>
          <w:color w:val="333333"/>
          <w:kern w:val="0"/>
        </w:rPr>
        <w:t>第一章</w:t>
      </w:r>
      <w:r w:rsidRPr="00994602">
        <w:rPr>
          <w:rFonts w:ascii="宋体" w:hAnsi="宋体" w:cs="宋体"/>
          <w:color w:val="333333"/>
          <w:kern w:val="0"/>
        </w:rPr>
        <w:t xml:space="preserve">  </w:t>
      </w:r>
      <w:r w:rsidRPr="00994602">
        <w:rPr>
          <w:rFonts w:ascii="宋体" w:hAnsi="宋体" w:cs="宋体" w:hint="eastAsia"/>
          <w:color w:val="333333"/>
          <w:kern w:val="0"/>
        </w:rPr>
        <w:t>媒介与社会</w:t>
      </w:r>
    </w:p>
    <w:p w:rsidR="003470D2" w:rsidRPr="00994602" w:rsidRDefault="003470D2" w:rsidP="005D7D96">
      <w:pPr>
        <w:widowControl/>
        <w:snapToGrid w:val="0"/>
        <w:spacing w:line="360" w:lineRule="auto"/>
        <w:jc w:val="left"/>
        <w:rPr>
          <w:rFonts w:ascii="宋体"/>
          <w:color w:val="333333"/>
          <w:kern w:val="0"/>
        </w:rPr>
      </w:pPr>
      <w:r w:rsidRPr="00994602">
        <w:rPr>
          <w:rFonts w:ascii="宋体" w:hAnsi="宋体" w:cs="宋体" w:hint="eastAsia"/>
          <w:color w:val="333333"/>
          <w:kern w:val="0"/>
        </w:rPr>
        <w:t>传播的含义与类型、传播过程与传播模式、传播</w:t>
      </w:r>
      <w:bookmarkStart w:id="0" w:name="_GoBack"/>
      <w:bookmarkEnd w:id="0"/>
      <w:r w:rsidRPr="00994602">
        <w:rPr>
          <w:rFonts w:ascii="宋体" w:hAnsi="宋体" w:cs="宋体" w:hint="eastAsia"/>
          <w:color w:val="333333"/>
          <w:kern w:val="0"/>
        </w:rPr>
        <w:t>的五个关键要素、传播媒介的界定、传播媒介的类型、媒介的社会功能、守望与预警的功能、协调与商讨的功能、传承与教化的功能、娱乐与商业的功能、媒介的社会影响、媒介与政治舆论、媒介与经济发展、媒介与社会文化、媒介与国际关系、媒介的效果与效果理论、效果与效果研究、媒介与说服、媒介与议程、媒介与教养、社会中的媒介、社会制度与媒介环境、学技术与媒介发展</w:t>
      </w:r>
    </w:p>
    <w:p w:rsidR="003470D2" w:rsidRPr="00994602" w:rsidRDefault="003470D2" w:rsidP="005D7D96">
      <w:pPr>
        <w:widowControl/>
        <w:spacing w:line="360" w:lineRule="auto"/>
        <w:jc w:val="left"/>
        <w:rPr>
          <w:rFonts w:ascii="宋体"/>
          <w:color w:val="333333"/>
          <w:kern w:val="0"/>
        </w:rPr>
      </w:pPr>
      <w:r w:rsidRPr="00994602">
        <w:rPr>
          <w:rFonts w:ascii="宋体" w:hAnsi="宋体" w:cs="宋体" w:hint="eastAsia"/>
          <w:color w:val="333333"/>
          <w:kern w:val="0"/>
        </w:rPr>
        <w:t>第二章</w:t>
      </w:r>
      <w:r w:rsidRPr="00994602">
        <w:rPr>
          <w:rFonts w:ascii="宋体" w:hAnsi="宋体" w:cs="宋体"/>
          <w:color w:val="333333"/>
          <w:kern w:val="0"/>
        </w:rPr>
        <w:t xml:space="preserve">  </w:t>
      </w:r>
      <w:r w:rsidRPr="00994602">
        <w:rPr>
          <w:rFonts w:ascii="宋体" w:hAnsi="宋体" w:cs="宋体" w:hint="eastAsia"/>
          <w:color w:val="333333"/>
          <w:kern w:val="0"/>
        </w:rPr>
        <w:t>媒介的形态与发展</w:t>
      </w:r>
    </w:p>
    <w:p w:rsidR="003470D2" w:rsidRPr="00994602" w:rsidRDefault="003470D2" w:rsidP="005D7D96">
      <w:pPr>
        <w:widowControl/>
        <w:snapToGrid w:val="0"/>
        <w:spacing w:line="360" w:lineRule="auto"/>
        <w:jc w:val="left"/>
        <w:rPr>
          <w:rFonts w:ascii="宋体" w:hAnsi="宋体" w:cs="宋体"/>
          <w:color w:val="333333"/>
          <w:kern w:val="0"/>
        </w:rPr>
      </w:pPr>
      <w:r w:rsidRPr="00994602">
        <w:rPr>
          <w:rFonts w:ascii="宋体" w:hAnsi="宋体" w:cs="宋体" w:hint="eastAsia"/>
          <w:color w:val="333333"/>
          <w:kern w:val="0"/>
        </w:rPr>
        <w:t>媒介形态的历史沿革、口语传播、书写传播、印刷传播、电子传播、数字多媒体传播、媒介形态沿革的规律与特征、传统媒介及其传播特征、报纸及其传播特点、广播及其传播特点、电视及其传播特点、互联网及其传播特征、数字技术与新媒体、网络传播的媒介特征、网络传播的主要类型、网络中的人际传播、网络中的群体传播、网络中的组织传播、网络中的大众传播</w:t>
      </w:r>
      <w:r w:rsidRPr="00994602">
        <w:rPr>
          <w:rFonts w:ascii="宋体" w:hAnsi="宋体" w:cs="宋体"/>
          <w:color w:val="333333"/>
          <w:kern w:val="0"/>
        </w:rPr>
        <w:t xml:space="preserve"> </w:t>
      </w:r>
    </w:p>
    <w:p w:rsidR="003470D2" w:rsidRPr="00994602" w:rsidRDefault="003470D2" w:rsidP="005D7D96">
      <w:pPr>
        <w:widowControl/>
        <w:spacing w:line="360" w:lineRule="auto"/>
        <w:jc w:val="left"/>
        <w:rPr>
          <w:rFonts w:ascii="宋体"/>
          <w:color w:val="333333"/>
          <w:kern w:val="0"/>
        </w:rPr>
      </w:pPr>
      <w:r w:rsidRPr="00994602">
        <w:rPr>
          <w:rFonts w:ascii="宋体" w:hAnsi="宋体" w:cs="宋体" w:hint="eastAsia"/>
          <w:color w:val="333333"/>
          <w:kern w:val="0"/>
        </w:rPr>
        <w:t>第三章</w:t>
      </w:r>
      <w:r w:rsidRPr="00994602">
        <w:rPr>
          <w:rFonts w:ascii="宋体" w:hAnsi="宋体" w:cs="宋体"/>
          <w:color w:val="333333"/>
          <w:kern w:val="0"/>
        </w:rPr>
        <w:t xml:space="preserve">  </w:t>
      </w:r>
      <w:r w:rsidRPr="00994602">
        <w:rPr>
          <w:rFonts w:ascii="宋体" w:hAnsi="宋体" w:cs="宋体" w:hint="eastAsia"/>
          <w:color w:val="333333"/>
          <w:kern w:val="0"/>
        </w:rPr>
        <w:t>媒介内容生产</w:t>
      </w:r>
    </w:p>
    <w:p w:rsidR="003470D2" w:rsidRPr="00994602" w:rsidRDefault="003470D2" w:rsidP="005D7D96">
      <w:pPr>
        <w:widowControl/>
        <w:snapToGrid w:val="0"/>
        <w:spacing w:line="360" w:lineRule="auto"/>
        <w:jc w:val="left"/>
        <w:rPr>
          <w:rFonts w:ascii="宋体" w:hAnsi="宋体" w:cs="宋体"/>
          <w:color w:val="333333"/>
          <w:kern w:val="0"/>
        </w:rPr>
      </w:pPr>
      <w:r w:rsidRPr="00994602">
        <w:rPr>
          <w:rFonts w:ascii="宋体" w:hAnsi="宋体" w:cs="宋体" w:hint="eastAsia"/>
          <w:color w:val="333333"/>
          <w:kern w:val="0"/>
        </w:rPr>
        <w:t>媒介内容生产的外部环境、媒介制度、媒介制度及其功能、媒介制度的类型、媒介产业、作为产业的媒介业、媒介产业的特点、媒介产业的全球化、媒介组织、</w:t>
      </w:r>
      <w:r w:rsidRPr="00994602">
        <w:rPr>
          <w:rFonts w:ascii="宋体"/>
          <w:color w:val="333333"/>
          <w:kern w:val="0"/>
        </w:rPr>
        <w:t> </w:t>
      </w:r>
      <w:r w:rsidRPr="00994602">
        <w:rPr>
          <w:rFonts w:ascii="宋体" w:hAnsi="宋体" w:cs="宋体" w:hint="eastAsia"/>
          <w:color w:val="333333"/>
          <w:kern w:val="0"/>
        </w:rPr>
        <w:t>媒介组织的类型、媒介组织的结构、媒介组织的管理、媒介内容生产的流程、报纸的生产、报纸的选题与策划、报纸的采访与编辑、报纸的版面设计、报纸的出版发行、广播电视节目的生产、广播电视节目的策划、广播电视节目的采制和播出、广播电视节目的栏目化与频道化、网络媒体的内容生产、网络媒体平台的设计与维护、网络媒体内容的采制和编辑、媒介融合时代的内容生产、媒介融合与全媒体传播、媒介融合对媒介内容生产的影响、媒介组织结构的调整与生产流程的改造</w:t>
      </w:r>
      <w:r w:rsidRPr="00994602">
        <w:rPr>
          <w:rFonts w:ascii="宋体" w:hAnsi="宋体" w:cs="宋体"/>
          <w:color w:val="333333"/>
          <w:kern w:val="0"/>
        </w:rPr>
        <w:t xml:space="preserve"> </w:t>
      </w:r>
    </w:p>
    <w:p w:rsidR="003470D2" w:rsidRPr="00994602" w:rsidRDefault="003470D2" w:rsidP="005D7D96">
      <w:pPr>
        <w:widowControl/>
        <w:spacing w:line="360" w:lineRule="auto"/>
        <w:jc w:val="left"/>
        <w:rPr>
          <w:rFonts w:ascii="宋体"/>
          <w:color w:val="333333"/>
          <w:kern w:val="0"/>
        </w:rPr>
      </w:pPr>
      <w:r w:rsidRPr="00994602">
        <w:rPr>
          <w:rFonts w:ascii="宋体" w:hAnsi="宋体" w:cs="宋体" w:hint="eastAsia"/>
          <w:color w:val="333333"/>
          <w:kern w:val="0"/>
        </w:rPr>
        <w:t>第四章</w:t>
      </w:r>
      <w:r w:rsidRPr="00994602">
        <w:rPr>
          <w:rFonts w:ascii="宋体" w:hAnsi="宋体" w:cs="宋体"/>
          <w:color w:val="333333"/>
          <w:kern w:val="0"/>
        </w:rPr>
        <w:t xml:space="preserve">  </w:t>
      </w:r>
      <w:r w:rsidRPr="00994602">
        <w:rPr>
          <w:rFonts w:ascii="宋体" w:hAnsi="宋体" w:cs="宋体" w:hint="eastAsia"/>
          <w:color w:val="333333"/>
          <w:kern w:val="0"/>
        </w:rPr>
        <w:t>媒介伦理与法规</w:t>
      </w:r>
    </w:p>
    <w:p w:rsidR="003470D2" w:rsidRPr="00994602" w:rsidRDefault="003470D2" w:rsidP="005D7D96">
      <w:pPr>
        <w:widowControl/>
        <w:snapToGrid w:val="0"/>
        <w:spacing w:line="360" w:lineRule="auto"/>
        <w:jc w:val="left"/>
        <w:rPr>
          <w:rFonts w:ascii="宋体"/>
          <w:color w:val="333333"/>
          <w:kern w:val="0"/>
        </w:rPr>
      </w:pPr>
      <w:r w:rsidRPr="00994602">
        <w:rPr>
          <w:rFonts w:ascii="宋体" w:hAnsi="宋体" w:cs="宋体" w:hint="eastAsia"/>
          <w:color w:val="333333"/>
          <w:kern w:val="0"/>
        </w:rPr>
        <w:t>媒介伦理知识、媒介伦理概述、媒介伦理的理论渊源、媒介伦理的一般原则、媒介伦理的失范、有偿新闻与新闻敲诈、媒介管理中的寻租腐败、媒介内容中的歧视与偏见、媒介内容中的文化与道德问题、媒介法规与政策、媒介与公共生活的法规控制、媒介与国家安全：煽动、泄密、危害统一、媒介与社会秩序：谣言、暴力、色情、媒介与权利、媒介与人格权利：名誉、隐私、肖像、媒介与著作权利：侵权、赔偿、媒介与言论权利：表达自由、隐性采访、信息公开、媒介产业的政策与法规、报刊业管理规制、广播电视业管理规制、互联网行业管理规制、媒介行业的自律与他律</w:t>
      </w:r>
    </w:p>
    <w:p w:rsidR="003470D2" w:rsidRPr="00994602" w:rsidRDefault="003470D2" w:rsidP="005D7D96">
      <w:pPr>
        <w:widowControl/>
        <w:spacing w:line="360" w:lineRule="auto"/>
        <w:jc w:val="left"/>
        <w:outlineLvl w:val="1"/>
        <w:rPr>
          <w:rFonts w:ascii="宋体"/>
          <w:b/>
          <w:bCs/>
          <w:color w:val="000000"/>
          <w:kern w:val="0"/>
        </w:rPr>
      </w:pPr>
      <w:r w:rsidRPr="00994602">
        <w:rPr>
          <w:rFonts w:ascii="宋体" w:hAnsi="宋体" w:cs="宋体" w:hint="eastAsia"/>
          <w:b/>
          <w:bCs/>
          <w:color w:val="000000"/>
        </w:rPr>
        <w:t>新闻与传播硕士</w:t>
      </w:r>
      <w:r w:rsidRPr="00994602">
        <w:rPr>
          <w:rFonts w:ascii="宋体" w:hAnsi="宋体" w:cs="宋体" w:hint="eastAsia"/>
          <w:b/>
          <w:bCs/>
          <w:color w:val="000000"/>
          <w:kern w:val="0"/>
        </w:rPr>
        <w:t>主要参考书目：</w:t>
      </w:r>
      <w:r w:rsidRPr="00994602">
        <w:rPr>
          <w:rFonts w:ascii="宋体" w:hAnsi="宋体" w:cs="宋体"/>
          <w:b/>
          <w:bCs/>
          <w:color w:val="000000"/>
          <w:kern w:val="0"/>
        </w:rPr>
        <w:t xml:space="preserve"> </w:t>
      </w:r>
    </w:p>
    <w:p w:rsidR="003470D2" w:rsidRPr="00994602" w:rsidRDefault="003470D2" w:rsidP="005D7D96">
      <w:pPr>
        <w:widowControl/>
        <w:snapToGrid w:val="0"/>
        <w:spacing w:line="360" w:lineRule="exact"/>
        <w:jc w:val="left"/>
        <w:rPr>
          <w:rFonts w:ascii="宋体"/>
          <w:color w:val="000000"/>
          <w:kern w:val="0"/>
        </w:rPr>
      </w:pPr>
      <w:r w:rsidRPr="00994602">
        <w:rPr>
          <w:rFonts w:ascii="宋体" w:hAnsi="宋体" w:cs="宋体" w:hint="eastAsia"/>
          <w:color w:val="000000"/>
          <w:kern w:val="0"/>
        </w:rPr>
        <w:t>李良荣：《新闻学概论》</w:t>
      </w:r>
      <w:r w:rsidRPr="00994602">
        <w:rPr>
          <w:rFonts w:ascii="宋体" w:hAnsi="宋体" w:cs="宋体"/>
          <w:color w:val="000000"/>
          <w:kern w:val="0"/>
        </w:rPr>
        <w:t>(</w:t>
      </w:r>
      <w:r w:rsidRPr="00994602">
        <w:rPr>
          <w:rFonts w:ascii="宋体" w:hAnsi="宋体" w:cs="宋体" w:hint="eastAsia"/>
          <w:color w:val="000000"/>
          <w:kern w:val="0"/>
        </w:rPr>
        <w:t>复旦大学出版社，</w:t>
      </w:r>
      <w:r w:rsidRPr="00994602">
        <w:rPr>
          <w:rFonts w:ascii="宋体" w:hAnsi="宋体" w:cs="宋体"/>
          <w:color w:val="000000"/>
          <w:kern w:val="0"/>
        </w:rPr>
        <w:t>20</w:t>
      </w:r>
      <w:r>
        <w:rPr>
          <w:rFonts w:ascii="宋体" w:hAnsi="宋体" w:cs="宋体"/>
          <w:color w:val="000000"/>
          <w:kern w:val="0"/>
        </w:rPr>
        <w:t>13</w:t>
      </w:r>
      <w:r w:rsidRPr="00994602">
        <w:rPr>
          <w:rFonts w:ascii="宋体" w:hAnsi="宋体" w:cs="宋体"/>
          <w:color w:val="000000"/>
          <w:kern w:val="0"/>
        </w:rPr>
        <w:t xml:space="preserve">) </w:t>
      </w:r>
    </w:p>
    <w:p w:rsidR="003470D2" w:rsidRPr="00994602" w:rsidRDefault="003470D2" w:rsidP="005D7D96">
      <w:pPr>
        <w:widowControl/>
        <w:snapToGrid w:val="0"/>
        <w:spacing w:line="360" w:lineRule="exact"/>
        <w:jc w:val="left"/>
        <w:rPr>
          <w:rFonts w:ascii="宋体"/>
          <w:color w:val="000000"/>
          <w:kern w:val="0"/>
        </w:rPr>
      </w:pPr>
      <w:r w:rsidRPr="00994602">
        <w:rPr>
          <w:rFonts w:ascii="宋体" w:hAnsi="宋体" w:cs="宋体" w:hint="eastAsia"/>
          <w:color w:val="000000"/>
          <w:kern w:val="0"/>
        </w:rPr>
        <w:t>郭庆光：《传播学教程》</w:t>
      </w:r>
      <w:r w:rsidRPr="00994602">
        <w:rPr>
          <w:rFonts w:ascii="宋体" w:hAnsi="宋体" w:cs="宋体"/>
          <w:color w:val="000000"/>
          <w:kern w:val="0"/>
        </w:rPr>
        <w:t>(</w:t>
      </w:r>
      <w:r w:rsidRPr="00994602">
        <w:rPr>
          <w:rFonts w:ascii="宋体" w:hAnsi="宋体" w:cs="宋体" w:hint="eastAsia"/>
          <w:color w:val="000000"/>
          <w:kern w:val="0"/>
        </w:rPr>
        <w:t>中国人民大学出版社，</w:t>
      </w:r>
      <w:r>
        <w:rPr>
          <w:rFonts w:ascii="宋体" w:hAnsi="宋体" w:cs="宋体"/>
          <w:color w:val="000000"/>
          <w:kern w:val="0"/>
        </w:rPr>
        <w:t>2011</w:t>
      </w:r>
      <w:r w:rsidRPr="00994602">
        <w:rPr>
          <w:rFonts w:ascii="宋体" w:hAnsi="宋体" w:cs="宋体"/>
          <w:color w:val="000000"/>
          <w:kern w:val="0"/>
        </w:rPr>
        <w:t xml:space="preserve">) </w:t>
      </w:r>
    </w:p>
    <w:p w:rsidR="003470D2" w:rsidRPr="00994602" w:rsidRDefault="003470D2" w:rsidP="005D7D96">
      <w:pPr>
        <w:widowControl/>
        <w:snapToGrid w:val="0"/>
        <w:spacing w:line="360" w:lineRule="exact"/>
        <w:jc w:val="left"/>
        <w:rPr>
          <w:rFonts w:ascii="宋体"/>
          <w:color w:val="000000"/>
          <w:spacing w:val="-6"/>
          <w:kern w:val="0"/>
        </w:rPr>
      </w:pPr>
      <w:r w:rsidRPr="00994602">
        <w:rPr>
          <w:rFonts w:ascii="宋体" w:hAnsi="宋体" w:cs="宋体" w:hint="eastAsia"/>
          <w:color w:val="000000"/>
          <w:spacing w:val="-6"/>
          <w:kern w:val="0"/>
        </w:rPr>
        <w:t>丁柏铨：《新闻采访与写作》</w:t>
      </w:r>
      <w:r w:rsidRPr="00994602">
        <w:rPr>
          <w:rFonts w:ascii="宋体" w:hAnsi="宋体" w:cs="宋体"/>
          <w:color w:val="000000"/>
          <w:spacing w:val="-6"/>
          <w:kern w:val="0"/>
        </w:rPr>
        <w:t>(</w:t>
      </w:r>
      <w:r w:rsidRPr="00994602">
        <w:rPr>
          <w:rFonts w:ascii="宋体" w:hAnsi="宋体" w:cs="宋体" w:hint="eastAsia"/>
          <w:color w:val="000000"/>
          <w:spacing w:val="-6"/>
          <w:kern w:val="0"/>
        </w:rPr>
        <w:t>高等教育出版社，</w:t>
      </w:r>
      <w:r w:rsidRPr="00994602">
        <w:rPr>
          <w:rFonts w:ascii="宋体" w:hAnsi="宋体" w:cs="宋体"/>
          <w:color w:val="000000"/>
          <w:spacing w:val="-6"/>
          <w:kern w:val="0"/>
        </w:rPr>
        <w:t>200</w:t>
      </w:r>
      <w:r>
        <w:rPr>
          <w:rFonts w:ascii="宋体" w:hAnsi="宋体" w:cs="宋体"/>
          <w:color w:val="000000"/>
          <w:spacing w:val="-6"/>
          <w:kern w:val="0"/>
        </w:rPr>
        <w:t>9</w:t>
      </w:r>
      <w:r w:rsidRPr="00994602">
        <w:rPr>
          <w:rFonts w:ascii="宋体" w:hAnsi="宋体" w:cs="宋体"/>
          <w:color w:val="000000"/>
          <w:spacing w:val="-6"/>
          <w:kern w:val="0"/>
        </w:rPr>
        <w:t xml:space="preserve">) </w:t>
      </w:r>
    </w:p>
    <w:p w:rsidR="003470D2" w:rsidRPr="00994602" w:rsidRDefault="003470D2" w:rsidP="005D7D96">
      <w:pPr>
        <w:widowControl/>
        <w:spacing w:line="360" w:lineRule="exact"/>
        <w:jc w:val="left"/>
        <w:outlineLvl w:val="1"/>
        <w:rPr>
          <w:rFonts w:ascii="宋体"/>
          <w:color w:val="000000"/>
          <w:kern w:val="0"/>
        </w:rPr>
      </w:pPr>
      <w:r w:rsidRPr="00994602">
        <w:rPr>
          <w:rFonts w:ascii="宋体" w:hAnsi="宋体" w:cs="宋体" w:hint="eastAsia"/>
          <w:color w:val="000000"/>
          <w:kern w:val="0"/>
        </w:rPr>
        <w:t>吴文虎：《新闻事业经营管理》（高等教育出版社，</w:t>
      </w:r>
      <w:r w:rsidRPr="00994602">
        <w:rPr>
          <w:rFonts w:ascii="宋体" w:hAnsi="宋体" w:cs="宋体"/>
          <w:color w:val="000000"/>
          <w:kern w:val="0"/>
        </w:rPr>
        <w:t>20</w:t>
      </w:r>
      <w:r>
        <w:rPr>
          <w:rFonts w:ascii="宋体" w:hAnsi="宋体" w:cs="宋体"/>
          <w:color w:val="000000"/>
          <w:kern w:val="0"/>
        </w:rPr>
        <w:t>10</w:t>
      </w:r>
      <w:r w:rsidRPr="00994602">
        <w:rPr>
          <w:rFonts w:ascii="宋体" w:hAnsi="宋体" w:cs="宋体" w:hint="eastAsia"/>
          <w:color w:val="000000"/>
          <w:kern w:val="0"/>
        </w:rPr>
        <w:t>）</w:t>
      </w:r>
      <w:r w:rsidRPr="00994602">
        <w:rPr>
          <w:rFonts w:ascii="宋体" w:hAnsi="宋体" w:cs="宋体"/>
          <w:color w:val="000000"/>
          <w:kern w:val="0"/>
        </w:rPr>
        <w:t xml:space="preserve"> </w:t>
      </w:r>
    </w:p>
    <w:p w:rsidR="003470D2" w:rsidRPr="005D7D96" w:rsidRDefault="003470D2" w:rsidP="005D7D96">
      <w:pPr>
        <w:spacing w:line="360" w:lineRule="exact"/>
        <w:jc w:val="left"/>
      </w:pPr>
      <w:r w:rsidRPr="00994602">
        <w:rPr>
          <w:rFonts w:ascii="宋体" w:hAnsi="宋体" w:cs="宋体" w:hint="eastAsia"/>
          <w:color w:val="000000"/>
          <w:kern w:val="36"/>
        </w:rPr>
        <w:t>魏永征：《新闻传播法教程》（中国人民大学出版社，</w:t>
      </w:r>
      <w:r w:rsidRPr="00994602">
        <w:rPr>
          <w:rFonts w:ascii="宋体" w:hAnsi="宋体" w:cs="宋体"/>
          <w:color w:val="000000"/>
          <w:kern w:val="36"/>
        </w:rPr>
        <w:t>20</w:t>
      </w:r>
      <w:r>
        <w:rPr>
          <w:rFonts w:ascii="宋体" w:hAnsi="宋体" w:cs="宋体"/>
          <w:color w:val="000000"/>
          <w:kern w:val="36"/>
        </w:rPr>
        <w:t>13</w:t>
      </w:r>
      <w:r w:rsidRPr="00994602">
        <w:rPr>
          <w:rFonts w:ascii="宋体" w:hAnsi="宋体" w:cs="宋体" w:hint="eastAsia"/>
          <w:color w:val="000000"/>
          <w:kern w:val="36"/>
        </w:rPr>
        <w:t>）</w:t>
      </w:r>
    </w:p>
    <w:sectPr w:rsidR="003470D2" w:rsidRPr="005D7D96" w:rsidSect="005D7D96">
      <w:headerReference w:type="default" r:id="rId6"/>
      <w:footerReference w:type="default" r:id="rId7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70D2" w:rsidRDefault="003470D2">
      <w:r>
        <w:separator/>
      </w:r>
    </w:p>
  </w:endnote>
  <w:endnote w:type="continuationSeparator" w:id="1">
    <w:p w:rsidR="003470D2" w:rsidRDefault="003470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0D2" w:rsidRDefault="003470D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70D2" w:rsidRDefault="003470D2">
      <w:r>
        <w:separator/>
      </w:r>
    </w:p>
  </w:footnote>
  <w:footnote w:type="continuationSeparator" w:id="1">
    <w:p w:rsidR="003470D2" w:rsidRDefault="003470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0D2" w:rsidRDefault="003470D2" w:rsidP="007F0613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7D96"/>
    <w:rsid w:val="00014314"/>
    <w:rsid w:val="0001467C"/>
    <w:rsid w:val="00016A54"/>
    <w:rsid w:val="0003206B"/>
    <w:rsid w:val="0004219C"/>
    <w:rsid w:val="00051239"/>
    <w:rsid w:val="000519C2"/>
    <w:rsid w:val="00051F56"/>
    <w:rsid w:val="00060F71"/>
    <w:rsid w:val="00082F4D"/>
    <w:rsid w:val="00095751"/>
    <w:rsid w:val="000A0890"/>
    <w:rsid w:val="000A754E"/>
    <w:rsid w:val="000B1BFD"/>
    <w:rsid w:val="000D1495"/>
    <w:rsid w:val="000D2987"/>
    <w:rsid w:val="000E304C"/>
    <w:rsid w:val="000E6DB5"/>
    <w:rsid w:val="00101064"/>
    <w:rsid w:val="00103891"/>
    <w:rsid w:val="0011361A"/>
    <w:rsid w:val="00132D2C"/>
    <w:rsid w:val="00145E0D"/>
    <w:rsid w:val="00146D61"/>
    <w:rsid w:val="001545CF"/>
    <w:rsid w:val="00166D5E"/>
    <w:rsid w:val="001674DB"/>
    <w:rsid w:val="00172555"/>
    <w:rsid w:val="00183961"/>
    <w:rsid w:val="001A02B1"/>
    <w:rsid w:val="001E54D0"/>
    <w:rsid w:val="001E7815"/>
    <w:rsid w:val="001F1EF2"/>
    <w:rsid w:val="00237436"/>
    <w:rsid w:val="002415BD"/>
    <w:rsid w:val="002567E4"/>
    <w:rsid w:val="00263637"/>
    <w:rsid w:val="00285AEE"/>
    <w:rsid w:val="00285F9C"/>
    <w:rsid w:val="00297F96"/>
    <w:rsid w:val="002B1039"/>
    <w:rsid w:val="002B493D"/>
    <w:rsid w:val="002B5F45"/>
    <w:rsid w:val="002E4262"/>
    <w:rsid w:val="002F0A47"/>
    <w:rsid w:val="00300E7D"/>
    <w:rsid w:val="00305715"/>
    <w:rsid w:val="00313FAF"/>
    <w:rsid w:val="0033110C"/>
    <w:rsid w:val="00331C30"/>
    <w:rsid w:val="00332CC2"/>
    <w:rsid w:val="00345E8D"/>
    <w:rsid w:val="003470D2"/>
    <w:rsid w:val="00355D63"/>
    <w:rsid w:val="003C2C1F"/>
    <w:rsid w:val="003C47BD"/>
    <w:rsid w:val="003D379E"/>
    <w:rsid w:val="003D3848"/>
    <w:rsid w:val="003E7095"/>
    <w:rsid w:val="003F2978"/>
    <w:rsid w:val="0041071D"/>
    <w:rsid w:val="004134A8"/>
    <w:rsid w:val="00414B65"/>
    <w:rsid w:val="0041518C"/>
    <w:rsid w:val="00416F9D"/>
    <w:rsid w:val="00440BA7"/>
    <w:rsid w:val="00447520"/>
    <w:rsid w:val="004501A4"/>
    <w:rsid w:val="004559C7"/>
    <w:rsid w:val="004866EE"/>
    <w:rsid w:val="004A52B9"/>
    <w:rsid w:val="004B010E"/>
    <w:rsid w:val="004B057D"/>
    <w:rsid w:val="004B076E"/>
    <w:rsid w:val="004B0E21"/>
    <w:rsid w:val="004B4205"/>
    <w:rsid w:val="004C26D2"/>
    <w:rsid w:val="004D7C34"/>
    <w:rsid w:val="004E4692"/>
    <w:rsid w:val="004F65B4"/>
    <w:rsid w:val="0051451E"/>
    <w:rsid w:val="00517A1C"/>
    <w:rsid w:val="0054286C"/>
    <w:rsid w:val="00556992"/>
    <w:rsid w:val="00564BBC"/>
    <w:rsid w:val="0057147D"/>
    <w:rsid w:val="005813A4"/>
    <w:rsid w:val="0059347A"/>
    <w:rsid w:val="005A0C33"/>
    <w:rsid w:val="005A5890"/>
    <w:rsid w:val="005C1E40"/>
    <w:rsid w:val="005D6144"/>
    <w:rsid w:val="005D7D96"/>
    <w:rsid w:val="005E2F08"/>
    <w:rsid w:val="00603651"/>
    <w:rsid w:val="00603796"/>
    <w:rsid w:val="0060384D"/>
    <w:rsid w:val="006059CC"/>
    <w:rsid w:val="0061387F"/>
    <w:rsid w:val="00624D6C"/>
    <w:rsid w:val="00676F46"/>
    <w:rsid w:val="006913BA"/>
    <w:rsid w:val="0069227A"/>
    <w:rsid w:val="00692E5F"/>
    <w:rsid w:val="006A3E63"/>
    <w:rsid w:val="006B5386"/>
    <w:rsid w:val="006D52DD"/>
    <w:rsid w:val="006E196F"/>
    <w:rsid w:val="006F2021"/>
    <w:rsid w:val="0071026B"/>
    <w:rsid w:val="00711D0F"/>
    <w:rsid w:val="00717972"/>
    <w:rsid w:val="00724394"/>
    <w:rsid w:val="00725D0D"/>
    <w:rsid w:val="007340C7"/>
    <w:rsid w:val="00736981"/>
    <w:rsid w:val="00741F61"/>
    <w:rsid w:val="00761FB8"/>
    <w:rsid w:val="007724F7"/>
    <w:rsid w:val="007829E9"/>
    <w:rsid w:val="0079496B"/>
    <w:rsid w:val="007F0613"/>
    <w:rsid w:val="0084433A"/>
    <w:rsid w:val="008A5962"/>
    <w:rsid w:val="008F40FC"/>
    <w:rsid w:val="00920F7C"/>
    <w:rsid w:val="00934968"/>
    <w:rsid w:val="009463B5"/>
    <w:rsid w:val="00966C22"/>
    <w:rsid w:val="00981A4A"/>
    <w:rsid w:val="00994602"/>
    <w:rsid w:val="009A1189"/>
    <w:rsid w:val="009B623F"/>
    <w:rsid w:val="009C5146"/>
    <w:rsid w:val="009C7153"/>
    <w:rsid w:val="009D201D"/>
    <w:rsid w:val="00A0424F"/>
    <w:rsid w:val="00A104E6"/>
    <w:rsid w:val="00A4453C"/>
    <w:rsid w:val="00A50AE4"/>
    <w:rsid w:val="00A52ED3"/>
    <w:rsid w:val="00A901F3"/>
    <w:rsid w:val="00A974D8"/>
    <w:rsid w:val="00AA29BD"/>
    <w:rsid w:val="00AA35DD"/>
    <w:rsid w:val="00AA4BB9"/>
    <w:rsid w:val="00AA6E8D"/>
    <w:rsid w:val="00AA74AD"/>
    <w:rsid w:val="00AB2ECB"/>
    <w:rsid w:val="00AB344D"/>
    <w:rsid w:val="00AF1D0E"/>
    <w:rsid w:val="00AF67C4"/>
    <w:rsid w:val="00B00AF4"/>
    <w:rsid w:val="00B12625"/>
    <w:rsid w:val="00B45479"/>
    <w:rsid w:val="00B62A5E"/>
    <w:rsid w:val="00B84541"/>
    <w:rsid w:val="00B95F9F"/>
    <w:rsid w:val="00BB092D"/>
    <w:rsid w:val="00C04E49"/>
    <w:rsid w:val="00C17291"/>
    <w:rsid w:val="00C23F59"/>
    <w:rsid w:val="00C70DA6"/>
    <w:rsid w:val="00C71DD1"/>
    <w:rsid w:val="00C737B8"/>
    <w:rsid w:val="00C935AF"/>
    <w:rsid w:val="00CA1853"/>
    <w:rsid w:val="00CA35F8"/>
    <w:rsid w:val="00CB1C2B"/>
    <w:rsid w:val="00CC2E25"/>
    <w:rsid w:val="00CD1CCA"/>
    <w:rsid w:val="00CD6955"/>
    <w:rsid w:val="00CE6A97"/>
    <w:rsid w:val="00CF22B7"/>
    <w:rsid w:val="00D123AC"/>
    <w:rsid w:val="00D219DA"/>
    <w:rsid w:val="00D22C77"/>
    <w:rsid w:val="00D336AF"/>
    <w:rsid w:val="00D5328E"/>
    <w:rsid w:val="00D677FC"/>
    <w:rsid w:val="00D7043D"/>
    <w:rsid w:val="00D7206A"/>
    <w:rsid w:val="00D82AC9"/>
    <w:rsid w:val="00D852BB"/>
    <w:rsid w:val="00D9286E"/>
    <w:rsid w:val="00DA3BBB"/>
    <w:rsid w:val="00DA77D0"/>
    <w:rsid w:val="00DE0DBD"/>
    <w:rsid w:val="00DF27E8"/>
    <w:rsid w:val="00DF451F"/>
    <w:rsid w:val="00E02253"/>
    <w:rsid w:val="00E033C5"/>
    <w:rsid w:val="00E2214B"/>
    <w:rsid w:val="00E6214A"/>
    <w:rsid w:val="00E76ED3"/>
    <w:rsid w:val="00E77356"/>
    <w:rsid w:val="00E811F4"/>
    <w:rsid w:val="00E8342C"/>
    <w:rsid w:val="00E8621E"/>
    <w:rsid w:val="00EB726F"/>
    <w:rsid w:val="00EC0DCA"/>
    <w:rsid w:val="00EC59D1"/>
    <w:rsid w:val="00F21BE0"/>
    <w:rsid w:val="00F335EF"/>
    <w:rsid w:val="00F46E79"/>
    <w:rsid w:val="00FB4118"/>
    <w:rsid w:val="00FB4DF6"/>
    <w:rsid w:val="00FF1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D96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D7D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D7D96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5D7D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D7D9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1</Pages>
  <Words>168</Words>
  <Characters>960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徐丽瑛</dc:creator>
  <cp:keywords/>
  <dc:description/>
  <cp:lastModifiedBy>向志强</cp:lastModifiedBy>
  <cp:revision>5</cp:revision>
  <dcterms:created xsi:type="dcterms:W3CDTF">2013-06-27T07:55:00Z</dcterms:created>
  <dcterms:modified xsi:type="dcterms:W3CDTF">2015-07-08T06:52:00Z</dcterms:modified>
</cp:coreProperties>
</file>